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7DC" w:rsidRPr="0052092D" w:rsidRDefault="003677DC" w:rsidP="0052092D">
      <w:pPr>
        <w:pStyle w:val="a3"/>
        <w:spacing w:line="240" w:lineRule="exact"/>
        <w:rPr>
          <w:rFonts w:ascii="微软雅黑" w:eastAsia="微软雅黑" w:hAnsi="微软雅黑" w:cs="宋体" w:hint="eastAsia"/>
          <w:sz w:val="22"/>
          <w:szCs w:val="22"/>
        </w:rPr>
      </w:pPr>
    </w:p>
    <w:p w:rsidR="003677DC" w:rsidRPr="0052092D" w:rsidRDefault="00AC6CEC" w:rsidP="0052092D">
      <w:pPr>
        <w:pStyle w:val="a3"/>
        <w:spacing w:line="600" w:lineRule="exact"/>
        <w:jc w:val="center"/>
        <w:rPr>
          <w:rFonts w:ascii="微软雅黑" w:eastAsia="微软雅黑" w:hAnsi="微软雅黑" w:cs="宋体"/>
          <w:b/>
          <w:bCs/>
          <w:color w:val="7030A0"/>
          <w:sz w:val="40"/>
          <w:szCs w:val="40"/>
        </w:rPr>
      </w:pPr>
      <w:r w:rsidRPr="0052092D">
        <w:rPr>
          <w:rFonts w:ascii="微软雅黑" w:eastAsia="微软雅黑" w:hAnsi="微软雅黑" w:cs="宋体" w:hint="eastAsia"/>
          <w:b/>
          <w:bCs/>
          <w:color w:val="7030A0"/>
          <w:sz w:val="40"/>
          <w:szCs w:val="40"/>
        </w:rPr>
        <w:t>最高人民法院</w:t>
      </w:r>
    </w:p>
    <w:p w:rsidR="003677DC" w:rsidRPr="0052092D" w:rsidRDefault="00AC6CEC" w:rsidP="0052092D">
      <w:pPr>
        <w:pStyle w:val="a3"/>
        <w:spacing w:line="600" w:lineRule="exact"/>
        <w:jc w:val="center"/>
        <w:rPr>
          <w:rFonts w:ascii="微软雅黑" w:eastAsia="微软雅黑" w:hAnsi="微软雅黑" w:cs="宋体"/>
          <w:b/>
          <w:bCs/>
          <w:color w:val="7030A0"/>
          <w:sz w:val="40"/>
          <w:szCs w:val="40"/>
        </w:rPr>
      </w:pPr>
      <w:r w:rsidRPr="0052092D">
        <w:rPr>
          <w:rFonts w:ascii="微软雅黑" w:eastAsia="微软雅黑" w:hAnsi="微软雅黑" w:cs="宋体" w:hint="eastAsia"/>
          <w:b/>
          <w:bCs/>
          <w:color w:val="7030A0"/>
          <w:sz w:val="40"/>
          <w:szCs w:val="40"/>
        </w:rPr>
        <w:t>关于人民法院司法拍卖房产竞买人资格若干问题的规定</w:t>
      </w:r>
    </w:p>
    <w:p w:rsidR="003677DC" w:rsidRDefault="003677DC" w:rsidP="0052092D">
      <w:pPr>
        <w:pStyle w:val="a3"/>
        <w:spacing w:line="240" w:lineRule="exact"/>
        <w:rPr>
          <w:rFonts w:ascii="微软雅黑" w:eastAsia="微软雅黑" w:hAnsi="微软雅黑" w:cs="宋体"/>
          <w:sz w:val="22"/>
          <w:szCs w:val="22"/>
        </w:rPr>
      </w:pPr>
    </w:p>
    <w:p w:rsidR="0052092D" w:rsidRDefault="0052092D" w:rsidP="0052092D">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2022-01-01</w:t>
      </w:r>
      <w:bookmarkStart w:id="0" w:name="_GoBack"/>
      <w:bookmarkEnd w:id="0"/>
    </w:p>
    <w:p w:rsidR="0052092D" w:rsidRPr="0052092D" w:rsidRDefault="0052092D" w:rsidP="0052092D">
      <w:pPr>
        <w:pStyle w:val="a3"/>
        <w:spacing w:line="240" w:lineRule="exact"/>
        <w:rPr>
          <w:rFonts w:ascii="微软雅黑" w:eastAsia="微软雅黑" w:hAnsi="微软雅黑" w:cs="宋体" w:hint="eastAsia"/>
          <w:sz w:val="22"/>
          <w:szCs w:val="22"/>
        </w:rPr>
      </w:pPr>
    </w:p>
    <w:p w:rsidR="003677DC" w:rsidRPr="0052092D" w:rsidRDefault="00AC6CEC" w:rsidP="0052092D">
      <w:pPr>
        <w:pStyle w:val="a3"/>
        <w:spacing w:line="240" w:lineRule="exact"/>
        <w:jc w:val="center"/>
        <w:rPr>
          <w:rFonts w:ascii="微软雅黑" w:eastAsia="微软雅黑" w:hAnsi="微软雅黑" w:cs="宋体"/>
          <w:sz w:val="22"/>
          <w:szCs w:val="22"/>
        </w:rPr>
      </w:pPr>
      <w:r w:rsidRPr="0052092D">
        <w:rPr>
          <w:rFonts w:ascii="微软雅黑" w:eastAsia="微软雅黑" w:hAnsi="微软雅黑" w:cs="宋体" w:hint="eastAsia"/>
          <w:sz w:val="22"/>
          <w:szCs w:val="22"/>
        </w:rPr>
        <w:t>法释〔</w:t>
      </w:r>
      <w:r w:rsidRPr="0052092D">
        <w:rPr>
          <w:rFonts w:ascii="微软雅黑" w:eastAsia="微软雅黑" w:hAnsi="微软雅黑" w:cs="宋体" w:hint="eastAsia"/>
          <w:sz w:val="22"/>
          <w:szCs w:val="22"/>
        </w:rPr>
        <w:t>2021</w:t>
      </w:r>
      <w:r w:rsidRPr="0052092D">
        <w:rPr>
          <w:rFonts w:ascii="微软雅黑" w:eastAsia="微软雅黑" w:hAnsi="微软雅黑" w:cs="宋体" w:hint="eastAsia"/>
          <w:sz w:val="22"/>
          <w:szCs w:val="22"/>
        </w:rPr>
        <w:t>〕</w:t>
      </w:r>
      <w:r w:rsidRPr="0052092D">
        <w:rPr>
          <w:rFonts w:ascii="微软雅黑" w:eastAsia="微软雅黑" w:hAnsi="微软雅黑" w:cs="宋体" w:hint="eastAsia"/>
          <w:sz w:val="22"/>
          <w:szCs w:val="22"/>
        </w:rPr>
        <w:t>1</w:t>
      </w:r>
      <w:r w:rsidRPr="0052092D">
        <w:rPr>
          <w:rFonts w:ascii="微软雅黑" w:eastAsia="微软雅黑" w:hAnsi="微软雅黑" w:cs="宋体" w:hint="eastAsia"/>
          <w:sz w:val="22"/>
          <w:szCs w:val="22"/>
        </w:rPr>
        <w:t>8</w:t>
      </w:r>
      <w:r w:rsidRPr="0052092D">
        <w:rPr>
          <w:rFonts w:ascii="微软雅黑" w:eastAsia="微软雅黑" w:hAnsi="微软雅黑" w:cs="宋体" w:hint="eastAsia"/>
          <w:sz w:val="22"/>
          <w:szCs w:val="22"/>
        </w:rPr>
        <w:t>号</w:t>
      </w:r>
    </w:p>
    <w:p w:rsidR="003677DC" w:rsidRPr="0052092D" w:rsidRDefault="003677DC" w:rsidP="0052092D">
      <w:pPr>
        <w:pStyle w:val="a3"/>
        <w:spacing w:line="240" w:lineRule="exact"/>
        <w:rPr>
          <w:rFonts w:ascii="微软雅黑" w:eastAsia="微软雅黑" w:hAnsi="微软雅黑" w:cs="宋体"/>
          <w:sz w:val="22"/>
          <w:szCs w:val="22"/>
        </w:rPr>
      </w:pPr>
    </w:p>
    <w:p w:rsidR="003677DC" w:rsidRPr="0052092D" w:rsidRDefault="00AC6CEC" w:rsidP="0052092D">
      <w:pPr>
        <w:pStyle w:val="a3"/>
        <w:spacing w:line="240" w:lineRule="exact"/>
        <w:ind w:leftChars="200" w:left="420" w:rightChars="200" w:right="420" w:firstLineChars="200" w:firstLine="420"/>
        <w:rPr>
          <w:rFonts w:ascii="微软雅黑" w:eastAsia="微软雅黑" w:hAnsi="微软雅黑" w:cs="宋体"/>
        </w:rPr>
      </w:pPr>
      <w:r w:rsidRPr="0052092D">
        <w:rPr>
          <w:rFonts w:ascii="微软雅黑" w:eastAsia="微软雅黑" w:hAnsi="微软雅黑" w:cs="宋体" w:hint="eastAsia"/>
        </w:rPr>
        <w:t>（</w:t>
      </w:r>
      <w:r w:rsidRPr="0052092D">
        <w:rPr>
          <w:rFonts w:ascii="微软雅黑" w:eastAsia="微软雅黑" w:hAnsi="微软雅黑" w:cs="宋体" w:hint="eastAsia"/>
        </w:rPr>
        <w:t>2021</w:t>
      </w:r>
      <w:r w:rsidRPr="0052092D">
        <w:rPr>
          <w:rFonts w:ascii="微软雅黑" w:eastAsia="微软雅黑" w:hAnsi="微软雅黑" w:cs="宋体" w:hint="eastAsia"/>
        </w:rPr>
        <w:t>年</w:t>
      </w:r>
      <w:r w:rsidRPr="0052092D">
        <w:rPr>
          <w:rFonts w:ascii="微软雅黑" w:eastAsia="微软雅黑" w:hAnsi="微软雅黑" w:cs="宋体" w:hint="eastAsia"/>
        </w:rPr>
        <w:t>9</w:t>
      </w:r>
      <w:r w:rsidRPr="0052092D">
        <w:rPr>
          <w:rFonts w:ascii="微软雅黑" w:eastAsia="微软雅黑" w:hAnsi="微软雅黑" w:cs="宋体" w:hint="eastAsia"/>
        </w:rPr>
        <w:t>月</w:t>
      </w:r>
      <w:r w:rsidRPr="0052092D">
        <w:rPr>
          <w:rFonts w:ascii="微软雅黑" w:eastAsia="微软雅黑" w:hAnsi="微软雅黑" w:cs="宋体" w:hint="eastAsia"/>
        </w:rPr>
        <w:t>16</w:t>
      </w:r>
      <w:r w:rsidRPr="0052092D">
        <w:rPr>
          <w:rFonts w:ascii="微软雅黑" w:eastAsia="微软雅黑" w:hAnsi="微软雅黑" w:cs="宋体" w:hint="eastAsia"/>
        </w:rPr>
        <w:t>日最高人民法院审判委员会第</w:t>
      </w:r>
      <w:r w:rsidRPr="0052092D">
        <w:rPr>
          <w:rFonts w:ascii="微软雅黑" w:eastAsia="微软雅黑" w:hAnsi="微软雅黑" w:cs="宋体" w:hint="eastAsia"/>
        </w:rPr>
        <w:t>1846</w:t>
      </w:r>
      <w:r w:rsidRPr="0052092D">
        <w:rPr>
          <w:rFonts w:ascii="微软雅黑" w:eastAsia="微软雅黑" w:hAnsi="微软雅黑" w:cs="宋体" w:hint="eastAsia"/>
        </w:rPr>
        <w:t>次会议通过，现予公布，自</w:t>
      </w:r>
      <w:r w:rsidRPr="0052092D">
        <w:rPr>
          <w:rFonts w:ascii="微软雅黑" w:eastAsia="微软雅黑" w:hAnsi="微软雅黑" w:cs="宋体" w:hint="eastAsia"/>
        </w:rPr>
        <w:t>2022</w:t>
      </w:r>
      <w:r w:rsidRPr="0052092D">
        <w:rPr>
          <w:rFonts w:ascii="微软雅黑" w:eastAsia="微软雅黑" w:hAnsi="微软雅黑" w:cs="宋体" w:hint="eastAsia"/>
        </w:rPr>
        <w:t>年</w:t>
      </w:r>
      <w:r w:rsidRPr="0052092D">
        <w:rPr>
          <w:rFonts w:ascii="微软雅黑" w:eastAsia="微软雅黑" w:hAnsi="微软雅黑" w:cs="宋体" w:hint="eastAsia"/>
        </w:rPr>
        <w:t>1</w:t>
      </w:r>
      <w:r w:rsidRPr="0052092D">
        <w:rPr>
          <w:rFonts w:ascii="微软雅黑" w:eastAsia="微软雅黑" w:hAnsi="微软雅黑" w:cs="宋体" w:hint="eastAsia"/>
        </w:rPr>
        <w:t>月</w:t>
      </w:r>
      <w:r w:rsidRPr="0052092D">
        <w:rPr>
          <w:rFonts w:ascii="微软雅黑" w:eastAsia="微软雅黑" w:hAnsi="微软雅黑" w:cs="宋体" w:hint="eastAsia"/>
        </w:rPr>
        <w:t>1</w:t>
      </w:r>
      <w:r w:rsidRPr="0052092D">
        <w:rPr>
          <w:rFonts w:ascii="微软雅黑" w:eastAsia="微软雅黑" w:hAnsi="微软雅黑" w:cs="宋体" w:hint="eastAsia"/>
        </w:rPr>
        <w:t>日起施行）</w:t>
      </w:r>
    </w:p>
    <w:p w:rsidR="003677DC" w:rsidRPr="0052092D" w:rsidRDefault="003677DC" w:rsidP="0052092D">
      <w:pPr>
        <w:pStyle w:val="a3"/>
        <w:spacing w:line="360" w:lineRule="exact"/>
        <w:ind w:leftChars="300" w:left="630" w:rightChars="300" w:right="630"/>
        <w:rPr>
          <w:rFonts w:ascii="微软雅黑" w:eastAsia="微软雅黑" w:hAnsi="微软雅黑" w:cs="宋体"/>
          <w:sz w:val="24"/>
          <w:szCs w:val="24"/>
        </w:rPr>
      </w:pPr>
    </w:p>
    <w:p w:rsidR="003677DC" w:rsidRPr="0052092D" w:rsidRDefault="00AC6CEC" w:rsidP="0052092D">
      <w:pPr>
        <w:pStyle w:val="a3"/>
        <w:spacing w:line="360" w:lineRule="exact"/>
        <w:rPr>
          <w:rFonts w:ascii="微软雅黑" w:eastAsia="微软雅黑" w:hAnsi="微软雅黑" w:cs="宋体"/>
          <w:sz w:val="24"/>
          <w:szCs w:val="24"/>
        </w:rPr>
      </w:pP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为了进一步规范人民法院司法拍卖房产行为，保护当事人合法权益，维护社会和经济秩序，依照《中华人民共和国民法典》《中华人民共和国民事诉讼法》等法律规定，结合司法实践，制定本规定。</w:t>
      </w:r>
    </w:p>
    <w:p w:rsidR="003677DC" w:rsidRPr="0052092D" w:rsidRDefault="00AC6CEC" w:rsidP="0052092D">
      <w:pPr>
        <w:pStyle w:val="a3"/>
        <w:spacing w:line="360" w:lineRule="exact"/>
        <w:rPr>
          <w:rFonts w:ascii="微软雅黑" w:eastAsia="微软雅黑" w:hAnsi="微软雅黑" w:cs="宋体"/>
          <w:sz w:val="24"/>
          <w:szCs w:val="24"/>
        </w:rPr>
      </w:pP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b/>
          <w:bCs/>
          <w:sz w:val="24"/>
          <w:szCs w:val="24"/>
        </w:rPr>
        <w:t>第一条</w:t>
      </w: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人民法院组织的司法拍卖房产活动，受房产所在地限购政策约束的竞买人申请参与竞拍的，人民法院不予准许。</w:t>
      </w:r>
    </w:p>
    <w:p w:rsidR="003677DC" w:rsidRPr="0052092D" w:rsidRDefault="00AC6CEC" w:rsidP="0052092D">
      <w:pPr>
        <w:pStyle w:val="a3"/>
        <w:spacing w:line="360" w:lineRule="exact"/>
        <w:rPr>
          <w:rFonts w:ascii="微软雅黑" w:eastAsia="微软雅黑" w:hAnsi="微软雅黑" w:cs="宋体"/>
          <w:sz w:val="24"/>
          <w:szCs w:val="24"/>
        </w:rPr>
      </w:pP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b/>
          <w:bCs/>
          <w:sz w:val="24"/>
          <w:szCs w:val="24"/>
        </w:rPr>
        <w:t>第二条</w:t>
      </w: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人民法院组织司法拍卖房产活动时，发布的拍卖公告载明竞买人必须具备购房资格及其相应法律后果等内容，竞买人申请参与竞拍的，应当承诺具备购房资格及自愿承担法律后果。</w:t>
      </w:r>
    </w:p>
    <w:p w:rsidR="003677DC" w:rsidRPr="0052092D" w:rsidRDefault="00AC6CEC" w:rsidP="0052092D">
      <w:pPr>
        <w:pStyle w:val="a3"/>
        <w:spacing w:line="360" w:lineRule="exact"/>
        <w:rPr>
          <w:rFonts w:ascii="微软雅黑" w:eastAsia="微软雅黑" w:hAnsi="微软雅黑" w:cs="宋体"/>
          <w:sz w:val="24"/>
          <w:szCs w:val="24"/>
        </w:rPr>
      </w:pP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b/>
          <w:bCs/>
          <w:sz w:val="24"/>
          <w:szCs w:val="24"/>
        </w:rPr>
        <w:t>第三条</w:t>
      </w: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人民法院在司法</w:t>
      </w:r>
      <w:r w:rsidRPr="0052092D">
        <w:rPr>
          <w:rFonts w:ascii="微软雅黑" w:eastAsia="微软雅黑" w:hAnsi="微软雅黑" w:cs="宋体" w:hint="eastAsia"/>
          <w:sz w:val="24"/>
          <w:szCs w:val="24"/>
        </w:rPr>
        <w:t>拍卖房产成交后、向买受人出具成交裁定书前，应当审核买受人提交的自其申请参与竞拍到成交裁定书出具时具备购房资格的证明材料；经审核买受人不符合持续具备购房资格条件，买受人请求出具拍卖成交裁定书的，人民法院不予准许。</w:t>
      </w:r>
    </w:p>
    <w:p w:rsidR="003677DC" w:rsidRPr="0052092D" w:rsidRDefault="00AC6CEC" w:rsidP="0052092D">
      <w:pPr>
        <w:pStyle w:val="a3"/>
        <w:spacing w:line="360" w:lineRule="exact"/>
        <w:rPr>
          <w:rFonts w:ascii="微软雅黑" w:eastAsia="微软雅黑" w:hAnsi="微软雅黑" w:cs="宋体"/>
          <w:sz w:val="24"/>
          <w:szCs w:val="24"/>
        </w:rPr>
      </w:pP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b/>
          <w:bCs/>
          <w:sz w:val="24"/>
          <w:szCs w:val="24"/>
        </w:rPr>
        <w:t>第四条</w:t>
      </w: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买受人虚构购房资格参与司法拍卖房产活动且拍卖成交，当事人、利害关系人以违背公序良俗为由主张该拍卖行为无效的，人民法院应</w:t>
      </w:r>
      <w:proofErr w:type="gramStart"/>
      <w:r w:rsidRPr="0052092D">
        <w:rPr>
          <w:rFonts w:ascii="微软雅黑" w:eastAsia="微软雅黑" w:hAnsi="微软雅黑" w:cs="宋体" w:hint="eastAsia"/>
          <w:sz w:val="24"/>
          <w:szCs w:val="24"/>
        </w:rPr>
        <w:t>予支</w:t>
      </w:r>
      <w:proofErr w:type="gramEnd"/>
      <w:r w:rsidRPr="0052092D">
        <w:rPr>
          <w:rFonts w:ascii="微软雅黑" w:eastAsia="微软雅黑" w:hAnsi="微软雅黑" w:cs="宋体" w:hint="eastAsia"/>
          <w:sz w:val="24"/>
          <w:szCs w:val="24"/>
        </w:rPr>
        <w:t>持。</w:t>
      </w:r>
    </w:p>
    <w:p w:rsidR="003677DC" w:rsidRPr="0052092D" w:rsidRDefault="00AC6CEC" w:rsidP="0052092D">
      <w:pPr>
        <w:pStyle w:val="a3"/>
        <w:spacing w:line="360" w:lineRule="exact"/>
        <w:rPr>
          <w:rFonts w:ascii="微软雅黑" w:eastAsia="微软雅黑" w:hAnsi="微软雅黑" w:cs="宋体"/>
          <w:sz w:val="24"/>
          <w:szCs w:val="24"/>
        </w:rPr>
      </w:pP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依据前款规定，买受人虚构购房资格导致拍卖行为无效的，应当依法承担赔偿责任。</w:t>
      </w:r>
    </w:p>
    <w:p w:rsidR="003677DC" w:rsidRPr="0052092D" w:rsidRDefault="00AC6CEC" w:rsidP="0052092D">
      <w:pPr>
        <w:pStyle w:val="a3"/>
        <w:spacing w:line="360" w:lineRule="exact"/>
        <w:rPr>
          <w:rFonts w:ascii="微软雅黑" w:eastAsia="微软雅黑" w:hAnsi="微软雅黑" w:cs="宋体"/>
          <w:sz w:val="24"/>
          <w:szCs w:val="24"/>
        </w:rPr>
      </w:pP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b/>
          <w:bCs/>
          <w:sz w:val="24"/>
          <w:szCs w:val="24"/>
        </w:rPr>
        <w:t>第五条</w:t>
      </w: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司法拍卖房产出现流拍等无法正常处置情形，不具备购房资格的申请执行人等当事人请求以该房抵债的，人民法院不予支持。</w:t>
      </w:r>
    </w:p>
    <w:p w:rsidR="003677DC" w:rsidRPr="0052092D" w:rsidRDefault="00AC6CEC" w:rsidP="0052092D">
      <w:pPr>
        <w:pStyle w:val="a3"/>
        <w:spacing w:line="360" w:lineRule="exact"/>
        <w:rPr>
          <w:rFonts w:ascii="微软雅黑" w:eastAsia="微软雅黑" w:hAnsi="微软雅黑" w:cs="宋体"/>
          <w:sz w:val="24"/>
          <w:szCs w:val="24"/>
        </w:rPr>
      </w:pP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b/>
          <w:bCs/>
          <w:sz w:val="24"/>
          <w:szCs w:val="24"/>
        </w:rPr>
        <w:t>第六条</w:t>
      </w: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人民法院组织的司法拍卖房产活动，竞买人虚构购房资格或者当事人之间恶意串通，侵害他人合法权益或者逃避履行法律文书确定的义务的，人民法院应当根据情节轻重予以罚款、拘留；构成犯罪的，依法追究刑事责任。</w:t>
      </w:r>
    </w:p>
    <w:p w:rsidR="003677DC" w:rsidRPr="0052092D" w:rsidRDefault="00AC6CEC" w:rsidP="0052092D">
      <w:pPr>
        <w:pStyle w:val="a3"/>
        <w:spacing w:line="360" w:lineRule="exact"/>
        <w:rPr>
          <w:rFonts w:ascii="微软雅黑" w:eastAsia="微软雅黑" w:hAnsi="微软雅黑" w:cs="宋体"/>
          <w:sz w:val="24"/>
          <w:szCs w:val="24"/>
        </w:rPr>
      </w:pP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b/>
          <w:bCs/>
          <w:sz w:val="24"/>
          <w:szCs w:val="24"/>
        </w:rPr>
        <w:t>第七条</w:t>
      </w: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除前六条规定的情形外，人民法院组织司法拍卖房产活动的其他事宜，适用《最高人民法院关于人民法院网络司法拍卖若干问题的规定》《最高人民法院关于人民法院民事执行中拍卖、变卖财产的规定》以及《最高人民法院关于适用〈中华人民共和国民事诉讼法〉的解释》的有关规定。</w:t>
      </w:r>
    </w:p>
    <w:p w:rsidR="003677DC" w:rsidRPr="0052092D" w:rsidRDefault="00AC6CEC" w:rsidP="0052092D">
      <w:pPr>
        <w:pStyle w:val="a3"/>
        <w:spacing w:line="360" w:lineRule="exact"/>
        <w:rPr>
          <w:rFonts w:ascii="微软雅黑" w:eastAsia="微软雅黑" w:hAnsi="微软雅黑" w:cs="宋体"/>
          <w:sz w:val="24"/>
          <w:szCs w:val="24"/>
        </w:rPr>
      </w:pP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b/>
          <w:bCs/>
          <w:sz w:val="24"/>
          <w:szCs w:val="24"/>
        </w:rPr>
        <w:t>第八条</w:t>
      </w: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人民法院组织司法变卖房产活</w:t>
      </w:r>
      <w:r w:rsidRPr="0052092D">
        <w:rPr>
          <w:rFonts w:ascii="微软雅黑" w:eastAsia="微软雅黑" w:hAnsi="微软雅黑" w:cs="宋体" w:hint="eastAsia"/>
          <w:sz w:val="24"/>
          <w:szCs w:val="24"/>
        </w:rPr>
        <w:t>动的，参照适用本规定。</w:t>
      </w:r>
    </w:p>
    <w:p w:rsidR="003677DC" w:rsidRPr="0052092D" w:rsidRDefault="00AC6CEC" w:rsidP="0052092D">
      <w:pPr>
        <w:pStyle w:val="a3"/>
        <w:spacing w:line="360" w:lineRule="exact"/>
        <w:rPr>
          <w:rFonts w:ascii="微软雅黑" w:eastAsia="微软雅黑" w:hAnsi="微软雅黑" w:cs="宋体"/>
          <w:sz w:val="24"/>
          <w:szCs w:val="24"/>
        </w:rPr>
      </w:pP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b/>
          <w:bCs/>
          <w:sz w:val="24"/>
          <w:szCs w:val="24"/>
        </w:rPr>
        <w:t>第九条</w:t>
      </w:r>
      <w:r w:rsidRPr="0052092D">
        <w:rPr>
          <w:rFonts w:ascii="微软雅黑" w:eastAsia="微软雅黑" w:hAnsi="微软雅黑" w:cs="宋体" w:hint="eastAsia"/>
          <w:sz w:val="24"/>
          <w:szCs w:val="24"/>
        </w:rPr>
        <w:t xml:space="preserve">  </w:t>
      </w:r>
      <w:r w:rsidRPr="0052092D">
        <w:rPr>
          <w:rFonts w:ascii="微软雅黑" w:eastAsia="微软雅黑" w:hAnsi="微软雅黑" w:cs="宋体" w:hint="eastAsia"/>
          <w:sz w:val="24"/>
          <w:szCs w:val="24"/>
        </w:rPr>
        <w:t>本规定自</w:t>
      </w:r>
      <w:r w:rsidRPr="0052092D">
        <w:rPr>
          <w:rFonts w:ascii="微软雅黑" w:eastAsia="微软雅黑" w:hAnsi="微软雅黑" w:cs="宋体" w:hint="eastAsia"/>
          <w:sz w:val="24"/>
          <w:szCs w:val="24"/>
        </w:rPr>
        <w:t>2022</w:t>
      </w:r>
      <w:r w:rsidRPr="0052092D">
        <w:rPr>
          <w:rFonts w:ascii="微软雅黑" w:eastAsia="微软雅黑" w:hAnsi="微软雅黑" w:cs="宋体" w:hint="eastAsia"/>
          <w:sz w:val="24"/>
          <w:szCs w:val="24"/>
        </w:rPr>
        <w:t>年</w:t>
      </w:r>
      <w:r w:rsidRPr="0052092D">
        <w:rPr>
          <w:rFonts w:ascii="微软雅黑" w:eastAsia="微软雅黑" w:hAnsi="微软雅黑" w:cs="宋体" w:hint="eastAsia"/>
          <w:sz w:val="24"/>
          <w:szCs w:val="24"/>
        </w:rPr>
        <w:t>1</w:t>
      </w:r>
      <w:r w:rsidRPr="0052092D">
        <w:rPr>
          <w:rFonts w:ascii="微软雅黑" w:eastAsia="微软雅黑" w:hAnsi="微软雅黑" w:cs="宋体" w:hint="eastAsia"/>
          <w:sz w:val="24"/>
          <w:szCs w:val="24"/>
        </w:rPr>
        <w:t>月</w:t>
      </w:r>
      <w:r w:rsidRPr="0052092D">
        <w:rPr>
          <w:rFonts w:ascii="微软雅黑" w:eastAsia="微软雅黑" w:hAnsi="微软雅黑" w:cs="宋体" w:hint="eastAsia"/>
          <w:sz w:val="24"/>
          <w:szCs w:val="24"/>
        </w:rPr>
        <w:t>1</w:t>
      </w:r>
      <w:r w:rsidRPr="0052092D">
        <w:rPr>
          <w:rFonts w:ascii="微软雅黑" w:eastAsia="微软雅黑" w:hAnsi="微软雅黑" w:cs="宋体" w:hint="eastAsia"/>
          <w:sz w:val="24"/>
          <w:szCs w:val="24"/>
        </w:rPr>
        <w:t>日起施行。</w:t>
      </w:r>
    </w:p>
    <w:p w:rsidR="003677DC" w:rsidRPr="0052092D" w:rsidRDefault="00AC6CEC" w:rsidP="0052092D">
      <w:pPr>
        <w:pStyle w:val="a3"/>
        <w:spacing w:line="360" w:lineRule="exact"/>
        <w:rPr>
          <w:rFonts w:ascii="微软雅黑" w:eastAsia="微软雅黑" w:hAnsi="微软雅黑" w:cs="宋体"/>
          <w:sz w:val="24"/>
          <w:szCs w:val="24"/>
        </w:rPr>
      </w:pPr>
      <w:r w:rsidRPr="0052092D">
        <w:rPr>
          <w:rFonts w:ascii="微软雅黑" w:eastAsia="微软雅黑" w:hAnsi="微软雅黑" w:cs="宋体" w:hint="eastAsia"/>
          <w:sz w:val="24"/>
          <w:szCs w:val="24"/>
        </w:rPr>
        <w:t xml:space="preserve">　　施行前最高人民法院公布的司法解释与本规定不一致的，以本规定为准。</w:t>
      </w:r>
    </w:p>
    <w:sectPr w:rsidR="003677DC" w:rsidRPr="0052092D" w:rsidSect="0052092D">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CEC" w:rsidRDefault="00AC6CEC">
      <w:r>
        <w:separator/>
      </w:r>
    </w:p>
  </w:endnote>
  <w:endnote w:type="continuationSeparator" w:id="0">
    <w:p w:rsidR="00AC6CEC" w:rsidRDefault="00AC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DC" w:rsidRDefault="00AC6CEC">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3677DC" w:rsidRDefault="003677D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DC" w:rsidRDefault="00AC6CEC">
    <w:pPr>
      <w:pStyle w:val="a7"/>
      <w:ind w:right="360"/>
    </w:pPr>
    <w:r>
      <w:pict>
        <v:shapetype id="_x0000_t202" coordsize="21600,21600" o:spt="202" path="m,l,21600r21600,l21600,xe">
          <v:stroke joinstyle="miter"/>
          <v:path gradientshapeok="t" o:connecttype="rect"/>
        </v:shapetype>
        <v:shape id="_x0000_s2049" type="#_x0000_t202" style="position:absolute;margin-left:-10.2pt;margin-top:-10.5pt;width:41pt;height:23.35pt;z-index:251659264;mso-position-horizontal:outside;mso-position-horizontal-relative:margin;mso-width-relative:page;mso-height-relative:page" filled="f" stroked="f">
          <v:textbox inset="0,0,0,0">
            <w:txbxContent>
              <w:p w:rsidR="003677DC" w:rsidRDefault="00AC6CEC">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hint="eastAsia"/>
                    <w:sz w:val="28"/>
                    <w:szCs w:val="28"/>
                  </w:rPr>
                  <w:t>0</w:t>
                </w:r>
                <w:r>
                  <w:rPr>
                    <w:rStyle w:val="aa"/>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CEC" w:rsidRDefault="00AC6CEC">
      <w:r>
        <w:separator/>
      </w:r>
    </w:p>
  </w:footnote>
  <w:footnote w:type="continuationSeparator" w:id="0">
    <w:p w:rsidR="00AC6CEC" w:rsidRDefault="00AC6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D35F0"/>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91CA7"/>
    <w:rsid w:val="001A7520"/>
    <w:rsid w:val="001B131A"/>
    <w:rsid w:val="001B153F"/>
    <w:rsid w:val="001B6523"/>
    <w:rsid w:val="001D4E14"/>
    <w:rsid w:val="001D5662"/>
    <w:rsid w:val="001E1AB1"/>
    <w:rsid w:val="001F6C7B"/>
    <w:rsid w:val="001F7284"/>
    <w:rsid w:val="002064F7"/>
    <w:rsid w:val="00206B2B"/>
    <w:rsid w:val="0021638E"/>
    <w:rsid w:val="002216B9"/>
    <w:rsid w:val="0023259F"/>
    <w:rsid w:val="00233F94"/>
    <w:rsid w:val="00235183"/>
    <w:rsid w:val="00241E35"/>
    <w:rsid w:val="002428F9"/>
    <w:rsid w:val="002518C7"/>
    <w:rsid w:val="0025742F"/>
    <w:rsid w:val="002671B1"/>
    <w:rsid w:val="00271C80"/>
    <w:rsid w:val="002763B3"/>
    <w:rsid w:val="00277543"/>
    <w:rsid w:val="00281EEF"/>
    <w:rsid w:val="0028710F"/>
    <w:rsid w:val="00296001"/>
    <w:rsid w:val="002A0E27"/>
    <w:rsid w:val="002A0E47"/>
    <w:rsid w:val="002A1765"/>
    <w:rsid w:val="002A1BB0"/>
    <w:rsid w:val="002A7E25"/>
    <w:rsid w:val="002B5E8C"/>
    <w:rsid w:val="002C11D2"/>
    <w:rsid w:val="002D285F"/>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677DC"/>
    <w:rsid w:val="00374592"/>
    <w:rsid w:val="00384827"/>
    <w:rsid w:val="003854B1"/>
    <w:rsid w:val="003871CA"/>
    <w:rsid w:val="003902DE"/>
    <w:rsid w:val="00390825"/>
    <w:rsid w:val="00394561"/>
    <w:rsid w:val="00395336"/>
    <w:rsid w:val="003B50D6"/>
    <w:rsid w:val="003C0536"/>
    <w:rsid w:val="003D7E4C"/>
    <w:rsid w:val="003E737D"/>
    <w:rsid w:val="003F534F"/>
    <w:rsid w:val="003F661F"/>
    <w:rsid w:val="003F70BD"/>
    <w:rsid w:val="00401196"/>
    <w:rsid w:val="00403942"/>
    <w:rsid w:val="004215C6"/>
    <w:rsid w:val="00422EA0"/>
    <w:rsid w:val="00424C9C"/>
    <w:rsid w:val="00431DB2"/>
    <w:rsid w:val="00432CA7"/>
    <w:rsid w:val="004358E6"/>
    <w:rsid w:val="00440B14"/>
    <w:rsid w:val="00447D9F"/>
    <w:rsid w:val="004549A7"/>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4F569D"/>
    <w:rsid w:val="00506C84"/>
    <w:rsid w:val="00512E73"/>
    <w:rsid w:val="005142A1"/>
    <w:rsid w:val="00517CAB"/>
    <w:rsid w:val="0052092D"/>
    <w:rsid w:val="00536EBF"/>
    <w:rsid w:val="0053713F"/>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7DFF"/>
    <w:rsid w:val="006E1FF4"/>
    <w:rsid w:val="006E7630"/>
    <w:rsid w:val="006F0A7E"/>
    <w:rsid w:val="006F6FC3"/>
    <w:rsid w:val="006F7D77"/>
    <w:rsid w:val="00715180"/>
    <w:rsid w:val="00720A73"/>
    <w:rsid w:val="00720CAF"/>
    <w:rsid w:val="00722ED9"/>
    <w:rsid w:val="00724377"/>
    <w:rsid w:val="007276B4"/>
    <w:rsid w:val="00733E0F"/>
    <w:rsid w:val="00745D25"/>
    <w:rsid w:val="007506EE"/>
    <w:rsid w:val="0075447F"/>
    <w:rsid w:val="00754A2D"/>
    <w:rsid w:val="007612AF"/>
    <w:rsid w:val="007643CE"/>
    <w:rsid w:val="00766157"/>
    <w:rsid w:val="00767F68"/>
    <w:rsid w:val="00771E84"/>
    <w:rsid w:val="0077490A"/>
    <w:rsid w:val="007775EF"/>
    <w:rsid w:val="007A51E0"/>
    <w:rsid w:val="007A6544"/>
    <w:rsid w:val="007A72E4"/>
    <w:rsid w:val="007A7FD3"/>
    <w:rsid w:val="007B2410"/>
    <w:rsid w:val="007C01D1"/>
    <w:rsid w:val="007C5705"/>
    <w:rsid w:val="007D13B8"/>
    <w:rsid w:val="007D2E57"/>
    <w:rsid w:val="007D77CE"/>
    <w:rsid w:val="007D7802"/>
    <w:rsid w:val="007E3C61"/>
    <w:rsid w:val="00802CDC"/>
    <w:rsid w:val="00805E1D"/>
    <w:rsid w:val="00813FEC"/>
    <w:rsid w:val="00814E29"/>
    <w:rsid w:val="00823C1E"/>
    <w:rsid w:val="00826D77"/>
    <w:rsid w:val="0083338D"/>
    <w:rsid w:val="00857DBC"/>
    <w:rsid w:val="008701AB"/>
    <w:rsid w:val="0087139A"/>
    <w:rsid w:val="00877798"/>
    <w:rsid w:val="008802DB"/>
    <w:rsid w:val="00881967"/>
    <w:rsid w:val="00884D26"/>
    <w:rsid w:val="00885F48"/>
    <w:rsid w:val="00890F76"/>
    <w:rsid w:val="0089274E"/>
    <w:rsid w:val="008A08FA"/>
    <w:rsid w:val="008C663E"/>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33EB"/>
    <w:rsid w:val="00986E71"/>
    <w:rsid w:val="00992211"/>
    <w:rsid w:val="009942EB"/>
    <w:rsid w:val="009A1862"/>
    <w:rsid w:val="009A5178"/>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5086"/>
    <w:rsid w:val="00AB68DD"/>
    <w:rsid w:val="00AC2B0B"/>
    <w:rsid w:val="00AC6CEC"/>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138E"/>
    <w:rsid w:val="00C85BE4"/>
    <w:rsid w:val="00CA3B61"/>
    <w:rsid w:val="00CB05CD"/>
    <w:rsid w:val="00CB268F"/>
    <w:rsid w:val="00CB5F36"/>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402A"/>
    <w:rsid w:val="00FF690A"/>
    <w:rsid w:val="099E007D"/>
    <w:rsid w:val="77B00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5EC398"/>
  <w15:docId w15:val="{04F5FF77-8CCB-4E79-8C0C-D9B13523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styleId="aa">
    <w:name w:val="page number"/>
    <w:basedOn w:val="a0"/>
  </w:style>
  <w:style w:type="paragraph" w:customStyle="1" w:styleId="ParaCharCharCharCharCharCharChar">
    <w:name w:val="默认段落字体 Para Char Char Char Char Char Char Char"/>
    <w:basedOn w:val="a"/>
  </w:style>
  <w:style w:type="character" w:customStyle="1" w:styleId="a9">
    <w:name w:val="页眉 字符"/>
    <w:basedOn w:val="a0"/>
    <w:link w:val="a8"/>
    <w:rPr>
      <w:kern w:val="2"/>
      <w:sz w:val="18"/>
      <w:szCs w:val="18"/>
    </w:rPr>
  </w:style>
  <w:style w:type="character" w:customStyle="1" w:styleId="a6">
    <w:name w:val="批注框文本 字符"/>
    <w:basedOn w:val="a0"/>
    <w:link w:val="a5"/>
    <w:rPr>
      <w:kern w:val="2"/>
      <w:sz w:val="18"/>
      <w:szCs w:val="18"/>
    </w:rPr>
  </w:style>
  <w:style w:type="character" w:customStyle="1" w:styleId="a4">
    <w:name w:val="纯文本 字符"/>
    <w:basedOn w:val="a0"/>
    <w:link w:val="a3"/>
    <w:uiPriority w:val="99"/>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BD84C7-2345-47CE-81CE-74AF6BD2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846</Characters>
  <Application>Microsoft Office Word</Application>
  <DocSecurity>0</DocSecurity>
  <Lines>7</Lines>
  <Paragraphs>1</Paragraphs>
  <ScaleCrop>false</ScaleCrop>
  <Company>Lenovo (Beijing) Limited</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5</cp:revision>
  <cp:lastPrinted>2014-04-03T09:04:00Z</cp:lastPrinted>
  <dcterms:created xsi:type="dcterms:W3CDTF">2021-12-15T08:32:00Z</dcterms:created>
  <dcterms:modified xsi:type="dcterms:W3CDTF">2025-08-27T03:49:00Z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30490B3EDCB44178AF529D70E3562947</vt:lpwstr>
  </property>
</Properties>
</file>